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5076" w:rsidRDefault="00A706E4">
      <w:pPr>
        <w:pStyle w:val="Ttulo"/>
        <w:spacing w:before="79" w:line="364" w:lineRule="auto"/>
        <w:ind w:left="2405" w:right="235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54560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316229</wp:posOffset>
                </wp:positionV>
                <wp:extent cx="6938645" cy="100723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8645" cy="10072370"/>
                          <a:chOff x="0" y="0"/>
                          <a:chExt cx="6938645" cy="100723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38645" cy="1007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645" h="10072370">
                                <a:moveTo>
                                  <a:pt x="6938645" y="12700"/>
                                </a:moveTo>
                                <a:lnTo>
                                  <a:pt x="6926580" y="12700"/>
                                </a:lnTo>
                                <a:lnTo>
                                  <a:pt x="6926580" y="0"/>
                                </a:lnTo>
                                <a:lnTo>
                                  <a:pt x="6914515" y="0"/>
                                </a:lnTo>
                                <a:lnTo>
                                  <a:pt x="6914515" y="12700"/>
                                </a:lnTo>
                                <a:lnTo>
                                  <a:pt x="6914515" y="10048240"/>
                                </a:lnTo>
                                <a:lnTo>
                                  <a:pt x="12065" y="10048240"/>
                                </a:lnTo>
                                <a:lnTo>
                                  <a:pt x="12065" y="12700"/>
                                </a:lnTo>
                                <a:lnTo>
                                  <a:pt x="6914515" y="12700"/>
                                </a:lnTo>
                                <a:lnTo>
                                  <a:pt x="6914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10048240"/>
                                </a:lnTo>
                                <a:lnTo>
                                  <a:pt x="0" y="10060940"/>
                                </a:lnTo>
                                <a:lnTo>
                                  <a:pt x="12065" y="10060940"/>
                                </a:lnTo>
                                <a:lnTo>
                                  <a:pt x="12065" y="10072370"/>
                                </a:lnTo>
                                <a:lnTo>
                                  <a:pt x="6938645" y="10072370"/>
                                </a:lnTo>
                                <a:lnTo>
                                  <a:pt x="6938645" y="10060940"/>
                                </a:lnTo>
                                <a:lnTo>
                                  <a:pt x="6938645" y="10048240"/>
                                </a:lnTo>
                                <a:lnTo>
                                  <a:pt x="693864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Logotipo - Portal Unica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8195" y="128270"/>
                            <a:ext cx="503554" cy="499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950001pt;margin-top:24.899975pt;width:546.35pt;height:793.1pt;mso-position-horizontal-relative:page;mso-position-vertical-relative:page;z-index:-15761920" id="docshapegroup1" coordorigin="499,498" coordsize="10927,15862">
                <v:shape style="position:absolute;left:499;top:498;width:10927;height:15862" id="docshape2" coordorigin="499,498" coordsize="10927,15862" path="m11426,518l11407,518,11407,498,11388,498,11388,518,11388,16322,518,16322,518,518,11388,518,11388,498,499,498,499,518,499,16322,499,16342,518,16342,518,16360,11426,16360,11426,16342,11426,16322,11426,518xe" filled="true" fillcolor="#000000" stroked="false">
                  <v:path arrowok="t"/>
                  <v:fill type="solid"/>
                </v:shape>
                <v:shape style="position:absolute;left:5756;top:700;width:793;height:787" type="#_x0000_t75" id="docshape3" alt="Logotipo - Portal Unicamp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55072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316229</wp:posOffset>
                </wp:positionV>
                <wp:extent cx="6938645" cy="100723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645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645" h="10072370">
                              <a:moveTo>
                                <a:pt x="6938645" y="12700"/>
                              </a:moveTo>
                              <a:lnTo>
                                <a:pt x="6926580" y="12700"/>
                              </a:lnTo>
                              <a:lnTo>
                                <a:pt x="6926580" y="0"/>
                              </a:lnTo>
                              <a:lnTo>
                                <a:pt x="6914515" y="0"/>
                              </a:lnTo>
                              <a:lnTo>
                                <a:pt x="6914515" y="12700"/>
                              </a:lnTo>
                              <a:lnTo>
                                <a:pt x="6914515" y="10048240"/>
                              </a:lnTo>
                              <a:lnTo>
                                <a:pt x="12065" y="10048240"/>
                              </a:lnTo>
                              <a:lnTo>
                                <a:pt x="12065" y="12700"/>
                              </a:lnTo>
                              <a:lnTo>
                                <a:pt x="6914515" y="12700"/>
                              </a:lnTo>
                              <a:lnTo>
                                <a:pt x="691451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0048240"/>
                              </a:lnTo>
                              <a:lnTo>
                                <a:pt x="0" y="10060940"/>
                              </a:lnTo>
                              <a:lnTo>
                                <a:pt x="12065" y="10060940"/>
                              </a:lnTo>
                              <a:lnTo>
                                <a:pt x="12065" y="10072370"/>
                              </a:lnTo>
                              <a:lnTo>
                                <a:pt x="6938645" y="10072370"/>
                              </a:lnTo>
                              <a:lnTo>
                                <a:pt x="6938645" y="10060940"/>
                              </a:lnTo>
                              <a:lnTo>
                                <a:pt x="6938645" y="10048240"/>
                              </a:lnTo>
                              <a:lnTo>
                                <a:pt x="6938645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950001pt;margin-top:24.899937pt;width:546.35pt;height:793.1pt;mso-position-horizontal-relative:page;mso-position-vertical-relative:page;z-index:-15761408" id="docshape4" coordorigin="499,498" coordsize="10927,15862" path="m11426,518l11407,518,11407,498,11388,498,11388,518,11388,16322,518,16322,518,518,11388,518,11388,498,499,498,499,518,499,16322,499,16342,518,16342,518,16360,11426,16360,11426,16342,11426,16322,11426,5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UNIVERSIDADE ESTADUAL DE CAMPINAS FACULDADE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ENGENHARIA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ALIMENTOS</w:t>
      </w:r>
    </w:p>
    <w:p w:rsidR="008C5076" w:rsidRDefault="00A706E4">
      <w:pPr>
        <w:pStyle w:val="Ttulo"/>
        <w:spacing w:line="269" w:lineRule="exact"/>
        <w:ind w:firstLine="0"/>
      </w:pP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</w:t>
      </w:r>
      <w:r>
        <w:rPr>
          <w:spacing w:val="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CIÊNCIA</w:t>
      </w:r>
      <w:r>
        <w:rPr>
          <w:spacing w:val="-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ALIMENTOS</w:t>
      </w:r>
    </w:p>
    <w:p w:rsidR="008C5076" w:rsidRDefault="008C5076">
      <w:pPr>
        <w:pStyle w:val="Corpodetexto"/>
        <w:spacing w:before="148"/>
        <w:ind w:left="0"/>
        <w:jc w:val="left"/>
        <w:rPr>
          <w:rFonts w:ascii="Arial"/>
          <w:b/>
        </w:rPr>
      </w:pPr>
    </w:p>
    <w:p w:rsidR="008C5076" w:rsidRDefault="00A706E4">
      <w:pPr>
        <w:spacing w:before="1"/>
        <w:ind w:left="140"/>
        <w:jc w:val="both"/>
        <w:rPr>
          <w:sz w:val="24"/>
        </w:rPr>
      </w:pPr>
      <w:r>
        <w:rPr>
          <w:rFonts w:ascii="Arial" w:hAnsi="Arial"/>
          <w:b/>
          <w:sz w:val="24"/>
        </w:rPr>
        <w:t>Instrução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Normativa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10: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Autoavaliação</w:t>
      </w:r>
    </w:p>
    <w:p w:rsidR="008C5076" w:rsidRDefault="00A706E4">
      <w:pPr>
        <w:pStyle w:val="Corpodetexto"/>
        <w:spacing w:before="256" w:line="362" w:lineRule="auto"/>
        <w:ind w:left="140" w:right="427"/>
      </w:pPr>
      <w:r>
        <w:rPr>
          <w:rFonts w:ascii="Arial" w:hAnsi="Arial"/>
          <w:b/>
        </w:rPr>
        <w:t xml:space="preserve">Art. 1º </w:t>
      </w:r>
      <w:r>
        <w:t>A Comissão de Autoavaliação do Programa de Pós-Graduação em Ciência de Alimentos (PPGCA) da UNICAMP será responsável por promover uma reflexão sistemática e participativa sobre as atividades acadêmicas, de pesquisa e de gestão do programa, contribuindo par</w:t>
      </w:r>
      <w:r>
        <w:t>a o aprimoramento das suas práticas, objetivos e resultados.</w:t>
      </w:r>
    </w:p>
    <w:p w:rsidR="008C5076" w:rsidRDefault="00A706E4">
      <w:pPr>
        <w:spacing w:before="109"/>
        <w:ind w:left="140"/>
        <w:jc w:val="both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2º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Objetivos: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60"/>
        </w:tabs>
        <w:spacing w:before="264" w:line="360" w:lineRule="auto"/>
        <w:ind w:right="424"/>
        <w:rPr>
          <w:sz w:val="24"/>
        </w:rPr>
      </w:pPr>
      <w:r>
        <w:rPr>
          <w:sz w:val="24"/>
        </w:rPr>
        <w:t>Avaliar a qualidade acadêmica: a comissão realizará uma avaliação contínua da qualidade do ensino, do oferecimento de disciplinas, da produção científica, da infraestrutura e d</w:t>
      </w:r>
      <w:r>
        <w:rPr>
          <w:sz w:val="24"/>
        </w:rPr>
        <w:t>os recursos disponíveis para o programa.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60"/>
        </w:tabs>
        <w:spacing w:before="119" w:line="360" w:lineRule="auto"/>
        <w:ind w:right="427"/>
        <w:rPr>
          <w:sz w:val="24"/>
        </w:rPr>
      </w:pPr>
      <w:r>
        <w:rPr>
          <w:sz w:val="24"/>
        </w:rPr>
        <w:t>Melhorar processos: identificar pontos fortes e oportunidades de melhoria no processo de formação de mestres e doutores, nas linhas de pesquisa, nas interações com outras instituições e no estabelecimento de parceri</w:t>
      </w:r>
      <w:r>
        <w:rPr>
          <w:sz w:val="24"/>
        </w:rPr>
        <w:t>as externas.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60"/>
        </w:tabs>
        <w:spacing w:line="360" w:lineRule="auto"/>
        <w:ind w:right="425"/>
        <w:rPr>
          <w:sz w:val="24"/>
        </w:rPr>
      </w:pPr>
      <w:r>
        <w:rPr>
          <w:sz w:val="24"/>
        </w:rPr>
        <w:t>Ajustar estratégias institucionais: por meio dos resultados da autoavaliação, fornecer subsídios para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ajuste das estratégias e metas do programa, alinhando-o às diretrizes institucionais da UNICAMP e aos parâmetros de excelência </w:t>
      </w:r>
      <w:proofErr w:type="gramStart"/>
      <w:r>
        <w:rPr>
          <w:sz w:val="24"/>
        </w:rPr>
        <w:t>exigidos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pela</w:t>
      </w:r>
      <w:proofErr w:type="gramEnd"/>
      <w:r>
        <w:rPr>
          <w:sz w:val="24"/>
        </w:rPr>
        <w:t xml:space="preserve"> CAPES e outras agências de fomento.</w:t>
      </w:r>
    </w:p>
    <w:p w:rsidR="008C5076" w:rsidRDefault="00A706E4">
      <w:pPr>
        <w:pStyle w:val="Corpodetexto"/>
        <w:spacing w:before="117"/>
        <w:ind w:left="14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3º</w:t>
      </w:r>
      <w:r>
        <w:rPr>
          <w:rFonts w:ascii="Arial" w:hAnsi="Arial"/>
          <w:b/>
          <w:spacing w:val="-2"/>
        </w:rPr>
        <w:t xml:space="preserve"> </w:t>
      </w:r>
      <w:r>
        <w:t>Composição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Autoavaliação:</w:t>
      </w:r>
    </w:p>
    <w:p w:rsidR="008C5076" w:rsidRDefault="00A706E4">
      <w:pPr>
        <w:pStyle w:val="Corpodetexto"/>
        <w:spacing w:before="260" w:line="360" w:lineRule="auto"/>
        <w:ind w:left="140" w:right="434"/>
      </w:pPr>
      <w:r>
        <w:t xml:space="preserve">A Comissão de Autoavaliação </w:t>
      </w:r>
      <w:r>
        <w:t xml:space="preserve">terá a seguinte composição: i) Coordenador do Programa de Pós-Graduação (presidente da comissão); </w:t>
      </w:r>
      <w:proofErr w:type="gramStart"/>
      <w:r>
        <w:t>ii</w:t>
      </w:r>
      <w:proofErr w:type="gramEnd"/>
      <w:r>
        <w:t>) três docentes permanentes (membros da comissão</w:t>
      </w:r>
      <w:r>
        <w:rPr>
          <w:spacing w:val="-4"/>
        </w:rPr>
        <w:t xml:space="preserve"> </w:t>
      </w:r>
      <w:r>
        <w:t>coordenadora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PPGCA);</w:t>
      </w:r>
      <w:r>
        <w:rPr>
          <w:spacing w:val="-2"/>
        </w:rPr>
        <w:t xml:space="preserve"> </w:t>
      </w:r>
      <w:r>
        <w:t>iii)</w:t>
      </w:r>
      <w:r>
        <w:rPr>
          <w:spacing w:val="-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representante discente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representante da equipe técnica ligado às a</w:t>
      </w:r>
      <w:r>
        <w:t>tividades do programa.</w:t>
      </w:r>
    </w:p>
    <w:p w:rsidR="008C5076" w:rsidRDefault="00A706E4">
      <w:pPr>
        <w:pStyle w:val="Corpodetexto"/>
        <w:spacing w:before="116"/>
        <w:ind w:left="14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4º</w:t>
      </w:r>
      <w:r>
        <w:rPr>
          <w:rFonts w:ascii="Arial" w:hAnsi="Arial"/>
          <w:b/>
          <w:spacing w:val="-2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Autoavaliação: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60"/>
        </w:tabs>
        <w:spacing w:before="264" w:line="360" w:lineRule="auto"/>
        <w:ind w:right="423"/>
        <w:rPr>
          <w:sz w:val="24"/>
        </w:rPr>
      </w:pPr>
      <w:r>
        <w:rPr>
          <w:sz w:val="24"/>
        </w:rPr>
        <w:t>Planejamento e execução da autoavaliação: a comissão ficará responsável por elaborar o plano de autoavaliação, que incluirá o cronograma, as metodologias de coleta de dados, a análise de indicadores qualitativos e quantitativos e a apresentação dos resulta</w:t>
      </w:r>
      <w:r>
        <w:rPr>
          <w:sz w:val="24"/>
        </w:rPr>
        <w:t>dos para o conselho do PPGCA;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59"/>
        </w:tabs>
        <w:spacing w:before="117"/>
        <w:ind w:left="859" w:hanging="359"/>
        <w:rPr>
          <w:sz w:val="24"/>
        </w:rPr>
      </w:pPr>
      <w:r>
        <w:rPr>
          <w:sz w:val="24"/>
        </w:rPr>
        <w:t>Análise</w:t>
      </w:r>
      <w:r>
        <w:rPr>
          <w:spacing w:val="61"/>
          <w:sz w:val="24"/>
        </w:rPr>
        <w:t xml:space="preserve"> </w:t>
      </w:r>
      <w:r>
        <w:rPr>
          <w:sz w:val="24"/>
        </w:rPr>
        <w:t>crítica:</w:t>
      </w:r>
      <w:r>
        <w:rPr>
          <w:spacing w:val="65"/>
          <w:sz w:val="24"/>
        </w:rPr>
        <w:t xml:space="preserve"> </w:t>
      </w:r>
      <w:r>
        <w:rPr>
          <w:sz w:val="24"/>
        </w:rPr>
        <w:t>realizar</w:t>
      </w:r>
      <w:r>
        <w:rPr>
          <w:spacing w:val="65"/>
          <w:sz w:val="24"/>
        </w:rPr>
        <w:t xml:space="preserve"> </w:t>
      </w:r>
      <w:r>
        <w:rPr>
          <w:sz w:val="24"/>
        </w:rPr>
        <w:t>análises</w:t>
      </w:r>
      <w:r>
        <w:rPr>
          <w:spacing w:val="64"/>
          <w:sz w:val="24"/>
        </w:rPr>
        <w:t xml:space="preserve"> </w:t>
      </w:r>
      <w:r>
        <w:rPr>
          <w:sz w:val="24"/>
        </w:rPr>
        <w:t>críticas</w:t>
      </w:r>
      <w:r>
        <w:rPr>
          <w:spacing w:val="64"/>
          <w:sz w:val="24"/>
        </w:rPr>
        <w:t xml:space="preserve"> </w:t>
      </w:r>
      <w:r>
        <w:rPr>
          <w:sz w:val="24"/>
        </w:rPr>
        <w:t>sobre</w:t>
      </w:r>
      <w:r>
        <w:rPr>
          <w:spacing w:val="64"/>
          <w:sz w:val="24"/>
        </w:rPr>
        <w:t xml:space="preserve"> </w:t>
      </w:r>
      <w:r>
        <w:rPr>
          <w:sz w:val="24"/>
        </w:rPr>
        <w:t>os</w:t>
      </w:r>
      <w:r>
        <w:rPr>
          <w:spacing w:val="68"/>
          <w:sz w:val="24"/>
        </w:rPr>
        <w:t xml:space="preserve"> </w:t>
      </w:r>
      <w:r>
        <w:rPr>
          <w:sz w:val="24"/>
        </w:rPr>
        <w:t>resultados</w:t>
      </w:r>
      <w:r>
        <w:rPr>
          <w:spacing w:val="68"/>
          <w:sz w:val="24"/>
        </w:rPr>
        <w:t xml:space="preserve"> </w:t>
      </w:r>
      <w:r>
        <w:rPr>
          <w:sz w:val="24"/>
        </w:rPr>
        <w:t>da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autoavaliação,</w:t>
      </w:r>
    </w:p>
    <w:p w:rsidR="008C5076" w:rsidRDefault="008C5076">
      <w:pPr>
        <w:pStyle w:val="PargrafodaLista"/>
        <w:rPr>
          <w:sz w:val="24"/>
        </w:rPr>
        <w:sectPr w:rsidR="008C5076">
          <w:type w:val="continuous"/>
          <w:pgSz w:w="11920" w:h="16860"/>
          <w:pgMar w:top="1840" w:right="708" w:bottom="280" w:left="992" w:header="720" w:footer="720" w:gutter="0"/>
          <w:cols w:space="720"/>
        </w:sectPr>
      </w:pPr>
    </w:p>
    <w:p w:rsidR="008C5076" w:rsidRDefault="00A706E4">
      <w:pPr>
        <w:pStyle w:val="Corpodetexto"/>
        <w:spacing w:before="71" w:line="357" w:lineRule="auto"/>
        <w:ind w:right="43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55584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316229</wp:posOffset>
                </wp:positionV>
                <wp:extent cx="6938645" cy="100723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8645" cy="10072370"/>
                          <a:chOff x="0" y="0"/>
                          <a:chExt cx="6938645" cy="100723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38645" cy="1007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645" h="10072370">
                                <a:moveTo>
                                  <a:pt x="6938645" y="12700"/>
                                </a:moveTo>
                                <a:lnTo>
                                  <a:pt x="6926580" y="12700"/>
                                </a:lnTo>
                                <a:lnTo>
                                  <a:pt x="6926580" y="0"/>
                                </a:lnTo>
                                <a:lnTo>
                                  <a:pt x="6914515" y="0"/>
                                </a:lnTo>
                                <a:lnTo>
                                  <a:pt x="6914515" y="12700"/>
                                </a:lnTo>
                                <a:lnTo>
                                  <a:pt x="6914515" y="10048240"/>
                                </a:lnTo>
                                <a:lnTo>
                                  <a:pt x="12065" y="10048240"/>
                                </a:lnTo>
                                <a:lnTo>
                                  <a:pt x="12065" y="12700"/>
                                </a:lnTo>
                                <a:lnTo>
                                  <a:pt x="6914515" y="12700"/>
                                </a:lnTo>
                                <a:lnTo>
                                  <a:pt x="6914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10048240"/>
                                </a:lnTo>
                                <a:lnTo>
                                  <a:pt x="0" y="10060940"/>
                                </a:lnTo>
                                <a:lnTo>
                                  <a:pt x="12065" y="10060940"/>
                                </a:lnTo>
                                <a:lnTo>
                                  <a:pt x="12065" y="10072370"/>
                                </a:lnTo>
                                <a:lnTo>
                                  <a:pt x="6938645" y="10072370"/>
                                </a:lnTo>
                                <a:lnTo>
                                  <a:pt x="6938645" y="10060940"/>
                                </a:lnTo>
                                <a:lnTo>
                                  <a:pt x="6938645" y="10048240"/>
                                </a:lnTo>
                                <a:lnTo>
                                  <a:pt x="693864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Logotipo - Portal Unica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8195" y="128270"/>
                            <a:ext cx="503554" cy="499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950001pt;margin-top:24.899975pt;width:546.35pt;height:793.1pt;mso-position-horizontal-relative:page;mso-position-vertical-relative:page;z-index:-15760896" id="docshapegroup5" coordorigin="499,498" coordsize="10927,15862">
                <v:shape style="position:absolute;left:499;top:498;width:10927;height:15862" id="docshape6" coordorigin="499,498" coordsize="10927,15862" path="m11426,518l11407,518,11407,498,11388,498,11388,518,11388,16322,518,16322,518,518,11388,518,11388,498,499,498,499,518,499,16322,499,16342,518,16342,518,16360,11426,16360,11426,16342,11426,16322,11426,518xe" filled="true" fillcolor="#000000" stroked="false">
                  <v:path arrowok="t"/>
                  <v:fill type="solid"/>
                </v:shape>
                <v:shape style="position:absolute;left:5756;top:700;width:793;height:787" type="#_x0000_t75" id="docshape7" alt="Logotipo - Portal Unicamp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56096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316229</wp:posOffset>
                </wp:positionV>
                <wp:extent cx="6938645" cy="100723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645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645" h="10072370">
                              <a:moveTo>
                                <a:pt x="6938645" y="12700"/>
                              </a:moveTo>
                              <a:lnTo>
                                <a:pt x="6926580" y="12700"/>
                              </a:lnTo>
                              <a:lnTo>
                                <a:pt x="6926580" y="0"/>
                              </a:lnTo>
                              <a:lnTo>
                                <a:pt x="6914515" y="0"/>
                              </a:lnTo>
                              <a:lnTo>
                                <a:pt x="6914515" y="12700"/>
                              </a:lnTo>
                              <a:lnTo>
                                <a:pt x="6914515" y="10048240"/>
                              </a:lnTo>
                              <a:lnTo>
                                <a:pt x="12065" y="10048240"/>
                              </a:lnTo>
                              <a:lnTo>
                                <a:pt x="12065" y="12700"/>
                              </a:lnTo>
                              <a:lnTo>
                                <a:pt x="6914515" y="12700"/>
                              </a:lnTo>
                              <a:lnTo>
                                <a:pt x="691451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0048240"/>
                              </a:lnTo>
                              <a:lnTo>
                                <a:pt x="0" y="10060940"/>
                              </a:lnTo>
                              <a:lnTo>
                                <a:pt x="12065" y="10060940"/>
                              </a:lnTo>
                              <a:lnTo>
                                <a:pt x="12065" y="10072370"/>
                              </a:lnTo>
                              <a:lnTo>
                                <a:pt x="6938645" y="10072370"/>
                              </a:lnTo>
                              <a:lnTo>
                                <a:pt x="6938645" y="10060940"/>
                              </a:lnTo>
                              <a:lnTo>
                                <a:pt x="6938645" y="10048240"/>
                              </a:lnTo>
                              <a:lnTo>
                                <a:pt x="6938645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950001pt;margin-top:24.899937pt;width:546.35pt;height:793.1pt;mso-position-horizontal-relative:page;mso-position-vertical-relative:page;z-index:-15760384" id="docshape8" coordorigin="499,498" coordsize="10927,15862" path="m11426,518l11407,518,11407,498,11388,498,11388,518,11388,16322,518,16322,518,518,11388,518,11388,498,499,498,499,518,499,16322,499,16342,518,16342,518,16360,11426,16360,11426,16342,11426,16322,11426,5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identificando</w:t>
      </w:r>
      <w:proofErr w:type="gramEnd"/>
      <w:r>
        <w:t xml:space="preserve"> os pontos fortes, as deficiências e as possíveis áreas de desenvolvimento do programa;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60"/>
        </w:tabs>
        <w:spacing w:line="360" w:lineRule="auto"/>
        <w:ind w:right="428"/>
        <w:rPr>
          <w:sz w:val="24"/>
        </w:rPr>
      </w:pPr>
      <w:r>
        <w:rPr>
          <w:sz w:val="24"/>
        </w:rPr>
        <w:t>Recomendações de melhoria: elaborar relatórios periódicos com recomendações para o aprimoramento do programa, contemplando aspectos pedagógicos, administrativos, financeiros e de infraestrutura;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60"/>
        </w:tabs>
        <w:spacing w:line="360" w:lineRule="auto"/>
        <w:ind w:right="429"/>
        <w:rPr>
          <w:sz w:val="24"/>
        </w:rPr>
      </w:pPr>
      <w:r>
        <w:rPr>
          <w:sz w:val="24"/>
        </w:rPr>
        <w:t>Monitoramento e revisão: a comissão acompanhará a evolução do</w:t>
      </w:r>
      <w:r>
        <w:rPr>
          <w:sz w:val="24"/>
        </w:rPr>
        <w:t xml:space="preserve"> atendimento às recomendações ao longo do tempo, promovendo revisões periódicas e sugerindo novos ajustes conforme necessário.</w:t>
      </w:r>
    </w:p>
    <w:p w:rsidR="008C5076" w:rsidRDefault="00A706E4">
      <w:pPr>
        <w:pStyle w:val="Corpodetexto"/>
        <w:spacing w:before="115" w:line="364" w:lineRule="auto"/>
        <w:ind w:left="140" w:right="422"/>
      </w:pPr>
      <w:r>
        <w:rPr>
          <w:rFonts w:ascii="Arial" w:hAnsi="Arial"/>
          <w:b/>
        </w:rPr>
        <w:t xml:space="preserve">Art. 5º </w:t>
      </w:r>
      <w:r>
        <w:t xml:space="preserve">Metodologias de avaliação: a autoavaliação será realizada com base em indicadores qualitativos e quantitativos. A coleta </w:t>
      </w:r>
      <w:r>
        <w:t>de dados será feita por meio de: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60"/>
        </w:tabs>
        <w:spacing w:before="113" w:line="360" w:lineRule="auto"/>
        <w:ind w:right="420"/>
        <w:rPr>
          <w:sz w:val="24"/>
        </w:rPr>
      </w:pPr>
      <w:r>
        <w:rPr>
          <w:sz w:val="24"/>
        </w:rPr>
        <w:t xml:space="preserve">Entrevistas e reuniões em grupo: realização de reuniões com docentes, discentes, membros da equipe </w:t>
      </w:r>
      <w:proofErr w:type="gramStart"/>
      <w:r>
        <w:rPr>
          <w:sz w:val="24"/>
        </w:rPr>
        <w:t>técnica e egressos para identificar a percepção dos diferentes grupos sobre o funcionamento do programa</w:t>
      </w:r>
      <w:proofErr w:type="gramEnd"/>
      <w:r>
        <w:rPr>
          <w:sz w:val="24"/>
        </w:rPr>
        <w:t>;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60"/>
        </w:tabs>
        <w:spacing w:before="123" w:line="360" w:lineRule="auto"/>
        <w:ind w:right="416"/>
        <w:rPr>
          <w:sz w:val="24"/>
        </w:rPr>
      </w:pPr>
      <w:r>
        <w:rPr>
          <w:sz w:val="24"/>
        </w:rPr>
        <w:t>Questionários e pes</w:t>
      </w:r>
      <w:r>
        <w:rPr>
          <w:sz w:val="24"/>
        </w:rPr>
        <w:t xml:space="preserve">quisas: envio de questionários padronizados aos discentes, docentes, equipe </w:t>
      </w:r>
      <w:proofErr w:type="gramStart"/>
      <w:r>
        <w:rPr>
          <w:sz w:val="24"/>
        </w:rPr>
        <w:t>técnica e egressos</w:t>
      </w:r>
      <w:proofErr w:type="gramEnd"/>
      <w:r>
        <w:rPr>
          <w:sz w:val="24"/>
        </w:rPr>
        <w:t xml:space="preserve">, a fim de obter dados quantitativos e qualitativos sobre a formação e o aperfeiçoamento acadêmico-científico, infraestrutura, perfil dos egressos, dentre outros </w:t>
      </w:r>
      <w:r>
        <w:rPr>
          <w:sz w:val="24"/>
        </w:rPr>
        <w:t>aspectos;</w:t>
      </w:r>
    </w:p>
    <w:p w:rsidR="008C5076" w:rsidRDefault="00A706E4">
      <w:pPr>
        <w:pStyle w:val="PargrafodaLista"/>
        <w:numPr>
          <w:ilvl w:val="0"/>
          <w:numId w:val="1"/>
        </w:numPr>
        <w:tabs>
          <w:tab w:val="left" w:pos="860"/>
        </w:tabs>
        <w:spacing w:before="120" w:line="360" w:lineRule="auto"/>
        <w:ind w:right="421"/>
        <w:rPr>
          <w:sz w:val="24"/>
        </w:rPr>
      </w:pPr>
      <w:r>
        <w:rPr>
          <w:sz w:val="24"/>
        </w:rPr>
        <w:t>Análise de indicadores acadêmicos: levantamento de dados sobre produção científica (publicações, patentes, projetos de pesquisa), taxa de conclusão de</w:t>
      </w:r>
      <w:r>
        <w:rPr>
          <w:spacing w:val="40"/>
          <w:sz w:val="24"/>
        </w:rPr>
        <w:t xml:space="preserve"> </w:t>
      </w:r>
      <w:r>
        <w:rPr>
          <w:sz w:val="24"/>
        </w:rPr>
        <w:t>curso, inserção dos egressos no mercado de trabalho, dentre outros.</w:t>
      </w:r>
    </w:p>
    <w:p w:rsidR="008C5076" w:rsidRDefault="00A706E4">
      <w:pPr>
        <w:pStyle w:val="Corpodetexto"/>
        <w:spacing w:before="114" w:line="360" w:lineRule="auto"/>
        <w:ind w:left="140" w:right="417"/>
      </w:pPr>
      <w:r>
        <w:rPr>
          <w:rFonts w:ascii="Arial" w:hAnsi="Arial"/>
          <w:b/>
        </w:rPr>
        <w:t xml:space="preserve">Art. 6º </w:t>
      </w:r>
      <w:r>
        <w:t>A Comissão de Autoavaliação do Programa de Pós-Graduação em Ciência de Alimentos da UNICAMP terá papel essencial na constante melhoria e excelência do programa, permitindo um acompanhamento próximo das atividades acadêmicas, das demandas dos discentes e da</w:t>
      </w:r>
      <w:r>
        <w:t>s tendências da área alinhadas aos objetivos do planejamento estratégico institucional.</w:t>
      </w:r>
    </w:p>
    <w:p w:rsidR="008C5076" w:rsidRDefault="008C5076">
      <w:pPr>
        <w:pStyle w:val="Corpodetexto"/>
        <w:spacing w:before="0"/>
        <w:ind w:left="0"/>
        <w:jc w:val="left"/>
      </w:pPr>
    </w:p>
    <w:p w:rsidR="008C5076" w:rsidRDefault="008C5076">
      <w:pPr>
        <w:pStyle w:val="Corpodetexto"/>
        <w:spacing w:before="243"/>
        <w:ind w:left="0"/>
        <w:jc w:val="left"/>
      </w:pPr>
    </w:p>
    <w:p w:rsidR="008C5076" w:rsidRDefault="00A706E4">
      <w:pPr>
        <w:ind w:left="5885"/>
        <w:rPr>
          <w:rFonts w:ascii="Georgia" w:hAnsi="Georgia"/>
          <w:b/>
          <w:i/>
          <w:sz w:val="18"/>
        </w:rPr>
      </w:pPr>
      <w:r>
        <w:rPr>
          <w:rFonts w:ascii="Georgia" w:hAnsi="Georgia"/>
          <w:b/>
          <w:i/>
          <w:color w:val="FF0000"/>
          <w:sz w:val="18"/>
        </w:rPr>
        <w:t>Versão</w:t>
      </w:r>
      <w:r>
        <w:rPr>
          <w:rFonts w:ascii="Georgia" w:hAnsi="Georgia"/>
          <w:b/>
          <w:i/>
          <w:color w:val="FF0000"/>
          <w:spacing w:val="-3"/>
          <w:sz w:val="18"/>
        </w:rPr>
        <w:t xml:space="preserve"> </w:t>
      </w:r>
      <w:r>
        <w:rPr>
          <w:rFonts w:ascii="Georgia" w:hAnsi="Georgia"/>
          <w:b/>
          <w:i/>
          <w:color w:val="FF0000"/>
          <w:sz w:val="18"/>
        </w:rPr>
        <w:t>aprovada</w:t>
      </w:r>
      <w:r>
        <w:rPr>
          <w:rFonts w:ascii="Georgia" w:hAnsi="Georgia"/>
          <w:b/>
          <w:i/>
          <w:color w:val="FF0000"/>
          <w:spacing w:val="-2"/>
          <w:sz w:val="18"/>
        </w:rPr>
        <w:t xml:space="preserve"> </w:t>
      </w:r>
      <w:r>
        <w:rPr>
          <w:rFonts w:ascii="Georgia" w:hAnsi="Georgia"/>
          <w:b/>
          <w:i/>
          <w:color w:val="FF0000"/>
          <w:sz w:val="18"/>
        </w:rPr>
        <w:t>em</w:t>
      </w:r>
      <w:r>
        <w:rPr>
          <w:rFonts w:ascii="Georgia" w:hAnsi="Georgia"/>
          <w:b/>
          <w:i/>
          <w:color w:val="FF0000"/>
          <w:spacing w:val="-1"/>
          <w:sz w:val="18"/>
        </w:rPr>
        <w:t xml:space="preserve"> </w:t>
      </w:r>
      <w:r>
        <w:rPr>
          <w:rFonts w:ascii="Georgia" w:hAnsi="Georgia"/>
          <w:b/>
          <w:i/>
          <w:color w:val="FF0000"/>
          <w:sz w:val="18"/>
        </w:rPr>
        <w:t>06</w:t>
      </w:r>
      <w:r>
        <w:rPr>
          <w:rFonts w:ascii="Georgia" w:hAnsi="Georgia"/>
          <w:b/>
          <w:i/>
          <w:color w:val="FF0000"/>
          <w:spacing w:val="-5"/>
          <w:sz w:val="18"/>
        </w:rPr>
        <w:t xml:space="preserve"> </w:t>
      </w:r>
      <w:r>
        <w:rPr>
          <w:rFonts w:ascii="Georgia" w:hAnsi="Georgia"/>
          <w:b/>
          <w:i/>
          <w:color w:val="FF0000"/>
          <w:sz w:val="18"/>
        </w:rPr>
        <w:t>de</w:t>
      </w:r>
      <w:r>
        <w:rPr>
          <w:rFonts w:ascii="Georgia" w:hAnsi="Georgia"/>
          <w:b/>
          <w:i/>
          <w:color w:val="FF0000"/>
          <w:spacing w:val="-3"/>
          <w:sz w:val="18"/>
        </w:rPr>
        <w:t xml:space="preserve"> </w:t>
      </w:r>
      <w:r>
        <w:rPr>
          <w:rFonts w:ascii="Georgia" w:hAnsi="Georgia"/>
          <w:b/>
          <w:i/>
          <w:color w:val="FF0000"/>
          <w:sz w:val="18"/>
        </w:rPr>
        <w:t>dezembro</w:t>
      </w:r>
      <w:r>
        <w:rPr>
          <w:rFonts w:ascii="Georgia" w:hAnsi="Georgia"/>
          <w:b/>
          <w:i/>
          <w:color w:val="FF0000"/>
          <w:spacing w:val="-1"/>
          <w:sz w:val="18"/>
        </w:rPr>
        <w:t xml:space="preserve"> </w:t>
      </w:r>
      <w:r>
        <w:rPr>
          <w:rFonts w:ascii="Georgia" w:hAnsi="Georgia"/>
          <w:b/>
          <w:i/>
          <w:color w:val="FF0000"/>
          <w:sz w:val="18"/>
        </w:rPr>
        <w:t xml:space="preserve">de </w:t>
      </w:r>
      <w:r>
        <w:rPr>
          <w:rFonts w:ascii="Georgia" w:hAnsi="Georgia"/>
          <w:b/>
          <w:i/>
          <w:color w:val="FF0000"/>
          <w:spacing w:val="-4"/>
          <w:sz w:val="18"/>
        </w:rPr>
        <w:t>2024</w:t>
      </w:r>
    </w:p>
    <w:sectPr w:rsidR="008C5076">
      <w:pgSz w:w="11920" w:h="16860"/>
      <w:pgMar w:top="16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156"/>
    <w:multiLevelType w:val="hybridMultilevel"/>
    <w:tmpl w:val="E026D7C6"/>
    <w:lvl w:ilvl="0" w:tplc="632AC77E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285E38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1186859C">
      <w:numFmt w:val="bullet"/>
      <w:lvlText w:val="•"/>
      <w:lvlJc w:val="left"/>
      <w:pPr>
        <w:ind w:left="2730" w:hanging="360"/>
      </w:pPr>
      <w:rPr>
        <w:rFonts w:hint="default"/>
        <w:lang w:val="pt-PT" w:eastAsia="en-US" w:bidi="ar-SA"/>
      </w:rPr>
    </w:lvl>
    <w:lvl w:ilvl="3" w:tplc="54E2F9C0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DD9E8D6E">
      <w:numFmt w:val="bullet"/>
      <w:lvlText w:val="•"/>
      <w:lvlJc w:val="left"/>
      <w:pPr>
        <w:ind w:left="4600" w:hanging="360"/>
      </w:pPr>
      <w:rPr>
        <w:rFonts w:hint="default"/>
        <w:lang w:val="pt-PT" w:eastAsia="en-US" w:bidi="ar-SA"/>
      </w:rPr>
    </w:lvl>
    <w:lvl w:ilvl="5" w:tplc="416E8850">
      <w:numFmt w:val="bullet"/>
      <w:lvlText w:val="•"/>
      <w:lvlJc w:val="left"/>
      <w:pPr>
        <w:ind w:left="5536" w:hanging="360"/>
      </w:pPr>
      <w:rPr>
        <w:rFonts w:hint="default"/>
        <w:lang w:val="pt-PT" w:eastAsia="en-US" w:bidi="ar-SA"/>
      </w:rPr>
    </w:lvl>
    <w:lvl w:ilvl="6" w:tplc="0A26BB94">
      <w:numFmt w:val="bullet"/>
      <w:lvlText w:val="•"/>
      <w:lvlJc w:val="left"/>
      <w:pPr>
        <w:ind w:left="6471" w:hanging="360"/>
      </w:pPr>
      <w:rPr>
        <w:rFonts w:hint="default"/>
        <w:lang w:val="pt-PT" w:eastAsia="en-US" w:bidi="ar-SA"/>
      </w:rPr>
    </w:lvl>
    <w:lvl w:ilvl="7" w:tplc="8CDC47C8">
      <w:numFmt w:val="bullet"/>
      <w:lvlText w:val="•"/>
      <w:lvlJc w:val="left"/>
      <w:pPr>
        <w:ind w:left="7406" w:hanging="360"/>
      </w:pPr>
      <w:rPr>
        <w:rFonts w:hint="default"/>
        <w:lang w:val="pt-PT" w:eastAsia="en-US" w:bidi="ar-SA"/>
      </w:rPr>
    </w:lvl>
    <w:lvl w:ilvl="8" w:tplc="2C6A430C">
      <w:numFmt w:val="bullet"/>
      <w:lvlText w:val="•"/>
      <w:lvlJc w:val="left"/>
      <w:pPr>
        <w:ind w:left="834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C5076"/>
    <w:rsid w:val="008C5076"/>
    <w:rsid w:val="00A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  <w:ind w:left="860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8" w:hanging="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  <w:ind w:left="860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8" w:hanging="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ANDREA CRISTINA FERRARI (308338)</cp:lastModifiedBy>
  <cp:revision>2</cp:revision>
  <cp:lastPrinted>2025-04-07T17:49:00Z</cp:lastPrinted>
  <dcterms:created xsi:type="dcterms:W3CDTF">2025-04-03T15:03:00Z</dcterms:created>
  <dcterms:modified xsi:type="dcterms:W3CDTF">2025-04-07T17:49:00Z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